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543" w:rsidRDefault="0074489B" w:rsidP="00F237A3">
      <w:pPr>
        <w:rPr>
          <w:b/>
          <w:u w:val="single"/>
        </w:rPr>
      </w:pPr>
      <w:r w:rsidRPr="0074489B">
        <w:rPr>
          <w:b/>
          <w:u w:val="single"/>
        </w:rPr>
        <w:t>PS</w:t>
      </w:r>
      <w:r w:rsidR="001C3B92">
        <w:rPr>
          <w:b/>
          <w:u w:val="single"/>
        </w:rPr>
        <w:t>HC</w:t>
      </w:r>
      <w:r w:rsidRPr="0074489B">
        <w:rPr>
          <w:b/>
          <w:u w:val="single"/>
        </w:rPr>
        <w:t>E at Elthorne Park High School</w:t>
      </w:r>
    </w:p>
    <w:p w:rsidR="0074489B" w:rsidRDefault="0074489B" w:rsidP="0074489B">
      <w:pPr>
        <w:pStyle w:val="ListParagraph"/>
        <w:numPr>
          <w:ilvl w:val="0"/>
          <w:numId w:val="3"/>
        </w:numPr>
      </w:pPr>
      <w:r>
        <w:t xml:space="preserve">The curriculum allocation is 1 hour per week. </w:t>
      </w:r>
    </w:p>
    <w:p w:rsidR="0074489B" w:rsidRDefault="0074489B" w:rsidP="0074489B">
      <w:pPr>
        <w:pStyle w:val="ListParagraph"/>
        <w:numPr>
          <w:ilvl w:val="0"/>
          <w:numId w:val="3"/>
        </w:numPr>
      </w:pPr>
      <w:r>
        <w:t>Key Stage 3 work on a 4 unit rotation and will be taught by 4 different teachers across the year.</w:t>
      </w:r>
    </w:p>
    <w:p w:rsidR="0074489B" w:rsidRDefault="0074489B" w:rsidP="0074489B">
      <w:pPr>
        <w:pStyle w:val="ListParagraph"/>
        <w:numPr>
          <w:ilvl w:val="0"/>
          <w:numId w:val="3"/>
        </w:numPr>
      </w:pPr>
      <w:r>
        <w:t>Key Stages 4 &amp; 5 remain with one teacher throughout the year</w:t>
      </w:r>
    </w:p>
    <w:p w:rsidR="0074489B" w:rsidRDefault="0074489B" w:rsidP="0074489B">
      <w:pPr>
        <w:pStyle w:val="ListParagraph"/>
        <w:numPr>
          <w:ilvl w:val="0"/>
          <w:numId w:val="3"/>
        </w:numPr>
      </w:pPr>
      <w:r>
        <w:t xml:space="preserve">PSHCE work is completed to a high standard in exercise books. These books are marked by the class teacher </w:t>
      </w:r>
      <w:r w:rsidR="002F3951">
        <w:t xml:space="preserve">at the end of each unit </w:t>
      </w:r>
      <w:r>
        <w:t>and quality assured by the Year Leader and PS</w:t>
      </w:r>
      <w:r w:rsidR="00AF0284">
        <w:t>HC</w:t>
      </w:r>
      <w:r>
        <w:t xml:space="preserve">E Lead.  </w:t>
      </w:r>
    </w:p>
    <w:p w:rsidR="0074489B" w:rsidRDefault="0074489B" w:rsidP="0074489B">
      <w:pPr>
        <w:pStyle w:val="ListParagraph"/>
        <w:numPr>
          <w:ilvl w:val="0"/>
          <w:numId w:val="3"/>
        </w:numPr>
      </w:pPr>
      <w:r>
        <w:t>RSE i</w:t>
      </w:r>
      <w:r w:rsidR="002F3951">
        <w:t>s</w:t>
      </w:r>
      <w:r>
        <w:t xml:space="preserve"> a statutory requirement in all schools. Please see the RSE policy for </w:t>
      </w:r>
      <w:r w:rsidR="00F237A3">
        <w:t>further details about compulsory topics and the right to withdraw.</w:t>
      </w:r>
    </w:p>
    <w:p w:rsidR="00F237A3" w:rsidRDefault="00F237A3" w:rsidP="0074489B">
      <w:pPr>
        <w:pStyle w:val="ListParagraph"/>
        <w:numPr>
          <w:ilvl w:val="0"/>
          <w:numId w:val="3"/>
        </w:numPr>
      </w:pPr>
      <w:r>
        <w:t xml:space="preserve">Resources are developed by the PSHCE teachers and ratified by the PSHCE lead and SLT. </w:t>
      </w:r>
      <w:r w:rsidR="00ED6DAF">
        <w:t>Any guest facilitators</w:t>
      </w:r>
      <w:r>
        <w:t xml:space="preserve"> are usually recommended by the Borough and organisations such as the PSHE Association, The Literacy Trust, Brook Charity and more are used in conjunction with our own specialists. </w:t>
      </w:r>
    </w:p>
    <w:tbl>
      <w:tblPr>
        <w:tblStyle w:val="TableGrid"/>
        <w:tblpPr w:leftFromText="180" w:rightFromText="180" w:vertAnchor="page" w:horzAnchor="margin" w:tblpY="4276"/>
        <w:tblW w:w="15588" w:type="dxa"/>
        <w:tblLook w:val="04A0" w:firstRow="1" w:lastRow="0" w:firstColumn="1" w:lastColumn="0" w:noHBand="0" w:noVBand="1"/>
      </w:tblPr>
      <w:tblGrid>
        <w:gridCol w:w="1838"/>
        <w:gridCol w:w="3686"/>
        <w:gridCol w:w="3543"/>
        <w:gridCol w:w="3270"/>
        <w:gridCol w:w="3251"/>
      </w:tblGrid>
      <w:tr w:rsidR="00F237A3" w:rsidTr="00F237A3">
        <w:trPr>
          <w:trHeight w:val="653"/>
        </w:trPr>
        <w:tc>
          <w:tcPr>
            <w:tcW w:w="1838" w:type="dxa"/>
          </w:tcPr>
          <w:p w:rsidR="00F237A3" w:rsidRPr="000929FE" w:rsidRDefault="00F237A3" w:rsidP="00F237A3">
            <w:pPr>
              <w:jc w:val="center"/>
              <w:rPr>
                <w:b/>
                <w:sz w:val="24"/>
                <w:szCs w:val="24"/>
              </w:rPr>
            </w:pPr>
            <w:r w:rsidRPr="000929FE">
              <w:rPr>
                <w:b/>
                <w:sz w:val="24"/>
                <w:szCs w:val="24"/>
              </w:rPr>
              <w:t>Year Group</w:t>
            </w:r>
          </w:p>
        </w:tc>
        <w:tc>
          <w:tcPr>
            <w:tcW w:w="3686" w:type="dxa"/>
          </w:tcPr>
          <w:p w:rsidR="00F237A3" w:rsidRPr="000929FE" w:rsidRDefault="00F237A3" w:rsidP="00F237A3">
            <w:pPr>
              <w:jc w:val="center"/>
              <w:rPr>
                <w:b/>
                <w:sz w:val="24"/>
                <w:szCs w:val="24"/>
              </w:rPr>
            </w:pPr>
            <w:r w:rsidRPr="000929FE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3543" w:type="dxa"/>
          </w:tcPr>
          <w:p w:rsidR="00F237A3" w:rsidRPr="000929FE" w:rsidRDefault="00F237A3" w:rsidP="00F237A3">
            <w:pPr>
              <w:jc w:val="center"/>
              <w:rPr>
                <w:b/>
                <w:sz w:val="24"/>
                <w:szCs w:val="24"/>
              </w:rPr>
            </w:pPr>
            <w:r w:rsidRPr="000929FE"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3270" w:type="dxa"/>
          </w:tcPr>
          <w:p w:rsidR="00F237A3" w:rsidRPr="000929FE" w:rsidRDefault="00F237A3" w:rsidP="00F237A3">
            <w:pPr>
              <w:jc w:val="center"/>
              <w:rPr>
                <w:b/>
                <w:sz w:val="24"/>
                <w:szCs w:val="24"/>
              </w:rPr>
            </w:pPr>
            <w:r w:rsidRPr="000929FE">
              <w:rPr>
                <w:b/>
                <w:sz w:val="24"/>
                <w:szCs w:val="24"/>
              </w:rPr>
              <w:t>Unit 3</w:t>
            </w:r>
          </w:p>
        </w:tc>
        <w:tc>
          <w:tcPr>
            <w:tcW w:w="3251" w:type="dxa"/>
          </w:tcPr>
          <w:p w:rsidR="00F237A3" w:rsidRPr="000929FE" w:rsidRDefault="00F237A3" w:rsidP="00F237A3">
            <w:pPr>
              <w:jc w:val="center"/>
              <w:rPr>
                <w:b/>
                <w:sz w:val="24"/>
                <w:szCs w:val="24"/>
              </w:rPr>
            </w:pPr>
            <w:r w:rsidRPr="000929FE">
              <w:rPr>
                <w:b/>
                <w:sz w:val="24"/>
                <w:szCs w:val="24"/>
              </w:rPr>
              <w:t>Unit 4</w:t>
            </w:r>
          </w:p>
        </w:tc>
      </w:tr>
      <w:tr w:rsidR="00F237A3" w:rsidTr="00F237A3">
        <w:trPr>
          <w:trHeight w:val="616"/>
        </w:trPr>
        <w:tc>
          <w:tcPr>
            <w:tcW w:w="1838" w:type="dxa"/>
          </w:tcPr>
          <w:p w:rsidR="00F237A3" w:rsidRPr="000929FE" w:rsidRDefault="00F237A3" w:rsidP="00F237A3">
            <w:pPr>
              <w:jc w:val="center"/>
              <w:rPr>
                <w:sz w:val="24"/>
                <w:szCs w:val="24"/>
              </w:rPr>
            </w:pPr>
            <w:r w:rsidRPr="000929FE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237A3" w:rsidRDefault="002F3951" w:rsidP="00F237A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Understanding Modern Britain</w:t>
            </w:r>
          </w:p>
          <w:p w:rsidR="00F237A3" w:rsidRPr="000929FE" w:rsidRDefault="00F237A3" w:rsidP="00F23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929FE">
              <w:rPr>
                <w:sz w:val="20"/>
                <w:szCs w:val="20"/>
              </w:rPr>
              <w:t>dentity, cultural values, government</w:t>
            </w:r>
            <w:r>
              <w:rPr>
                <w:sz w:val="20"/>
                <w:szCs w:val="20"/>
              </w:rPr>
              <w:t xml:space="preserve"> structure</w:t>
            </w:r>
          </w:p>
        </w:tc>
        <w:tc>
          <w:tcPr>
            <w:tcW w:w="3543" w:type="dxa"/>
          </w:tcPr>
          <w:p w:rsidR="00F237A3" w:rsidRDefault="00F237A3" w:rsidP="00F237A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RSE</w:t>
            </w:r>
          </w:p>
          <w:p w:rsidR="00F237A3" w:rsidRPr="000929FE" w:rsidRDefault="00F237A3" w:rsidP="00F23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Friendships, </w:t>
            </w:r>
            <w:r w:rsidR="002F3951">
              <w:rPr>
                <w:sz w:val="20"/>
                <w:szCs w:val="20"/>
              </w:rPr>
              <w:t>positivity, pressure &amp; influence</w:t>
            </w:r>
            <w:r>
              <w:rPr>
                <w:sz w:val="20"/>
                <w:szCs w:val="20"/>
              </w:rPr>
              <w:t>, bullying, puberty</w:t>
            </w:r>
          </w:p>
        </w:tc>
        <w:tc>
          <w:tcPr>
            <w:tcW w:w="3270" w:type="dxa"/>
          </w:tcPr>
          <w:p w:rsidR="00F237A3" w:rsidRDefault="00F237A3" w:rsidP="00F237A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Staying Safe</w:t>
            </w:r>
          </w:p>
          <w:p w:rsidR="00F237A3" w:rsidRPr="000929FE" w:rsidRDefault="00F237A3" w:rsidP="00F23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E-safety, community risks, intro to dangerous substances</w:t>
            </w:r>
          </w:p>
        </w:tc>
        <w:tc>
          <w:tcPr>
            <w:tcW w:w="3251" w:type="dxa"/>
          </w:tcPr>
          <w:p w:rsidR="00F237A3" w:rsidRDefault="002F3951" w:rsidP="00F237A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Unifrog</w:t>
            </w:r>
          </w:p>
          <w:p w:rsidR="00F237A3" w:rsidRPr="000929FE" w:rsidRDefault="00F237A3" w:rsidP="00F23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Employability, linking subjects to career choices, communication skills</w:t>
            </w:r>
          </w:p>
        </w:tc>
      </w:tr>
      <w:tr w:rsidR="00F237A3" w:rsidTr="00F237A3">
        <w:trPr>
          <w:trHeight w:val="653"/>
        </w:trPr>
        <w:tc>
          <w:tcPr>
            <w:tcW w:w="1838" w:type="dxa"/>
          </w:tcPr>
          <w:p w:rsidR="00F237A3" w:rsidRPr="000929FE" w:rsidRDefault="00F237A3" w:rsidP="00F237A3">
            <w:pPr>
              <w:jc w:val="center"/>
              <w:rPr>
                <w:sz w:val="24"/>
                <w:szCs w:val="24"/>
              </w:rPr>
            </w:pPr>
            <w:r w:rsidRPr="000929FE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F237A3" w:rsidRDefault="00F237A3" w:rsidP="00F237A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Health &amp; </w:t>
            </w:r>
            <w:r w:rsidR="002F3951">
              <w:rPr>
                <w:b/>
                <w:i/>
                <w:sz w:val="20"/>
                <w:szCs w:val="20"/>
              </w:rPr>
              <w:t xml:space="preserve">Prevention </w:t>
            </w:r>
          </w:p>
          <w:p w:rsidR="00F237A3" w:rsidRPr="000929FE" w:rsidRDefault="00F237A3" w:rsidP="00F23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Basic First Aid, sun safety, immunisations, </w:t>
            </w:r>
            <w:r w:rsidR="002F3951">
              <w:rPr>
                <w:sz w:val="20"/>
                <w:szCs w:val="20"/>
              </w:rPr>
              <w:t>sleep hygiene</w:t>
            </w:r>
            <w:r>
              <w:rPr>
                <w:sz w:val="20"/>
                <w:szCs w:val="20"/>
              </w:rPr>
              <w:t>, nutrition</w:t>
            </w:r>
          </w:p>
        </w:tc>
        <w:tc>
          <w:tcPr>
            <w:tcW w:w="3543" w:type="dxa"/>
          </w:tcPr>
          <w:p w:rsidR="00F237A3" w:rsidRDefault="00F237A3" w:rsidP="00F237A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RSE</w:t>
            </w:r>
          </w:p>
          <w:p w:rsidR="00F237A3" w:rsidRPr="000929FE" w:rsidRDefault="002F3951" w:rsidP="00F23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Dealing with conflict, sexual orientation, assertive consent, FGM</w:t>
            </w:r>
          </w:p>
        </w:tc>
        <w:tc>
          <w:tcPr>
            <w:tcW w:w="3270" w:type="dxa"/>
          </w:tcPr>
          <w:p w:rsidR="00F237A3" w:rsidRDefault="002F3951" w:rsidP="00F237A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Wellbeing &amp; Risk Factors</w:t>
            </w:r>
          </w:p>
          <w:p w:rsidR="00F237A3" w:rsidRPr="000929FE" w:rsidRDefault="00F237A3" w:rsidP="00F23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Mental health risks, body image, </w:t>
            </w:r>
            <w:proofErr w:type="spellStart"/>
            <w:r w:rsidR="00283917">
              <w:rPr>
                <w:sz w:val="20"/>
                <w:szCs w:val="20"/>
              </w:rPr>
              <w:t>self esteem</w:t>
            </w:r>
            <w:proofErr w:type="spellEnd"/>
            <w:r w:rsidR="00283917">
              <w:rPr>
                <w:sz w:val="20"/>
                <w:szCs w:val="20"/>
              </w:rPr>
              <w:t>, county lines, grooming</w:t>
            </w:r>
          </w:p>
        </w:tc>
        <w:tc>
          <w:tcPr>
            <w:tcW w:w="3251" w:type="dxa"/>
          </w:tcPr>
          <w:p w:rsidR="00F237A3" w:rsidRDefault="00283917" w:rsidP="00F237A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Sustainable Futures</w:t>
            </w:r>
          </w:p>
          <w:p w:rsidR="00F237A3" w:rsidRPr="000929FE" w:rsidRDefault="00283917" w:rsidP="00F23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Labour Market Information, green careers, global risks</w:t>
            </w:r>
          </w:p>
        </w:tc>
      </w:tr>
      <w:tr w:rsidR="00F237A3" w:rsidTr="00F237A3">
        <w:trPr>
          <w:trHeight w:val="616"/>
        </w:trPr>
        <w:tc>
          <w:tcPr>
            <w:tcW w:w="1838" w:type="dxa"/>
          </w:tcPr>
          <w:p w:rsidR="00F237A3" w:rsidRPr="000929FE" w:rsidRDefault="00F237A3" w:rsidP="00F237A3">
            <w:pPr>
              <w:jc w:val="center"/>
              <w:rPr>
                <w:sz w:val="24"/>
                <w:szCs w:val="24"/>
              </w:rPr>
            </w:pPr>
            <w:r w:rsidRPr="000929FE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F237A3" w:rsidRDefault="00AC70ED" w:rsidP="00F237A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Mind &amp; Body</w:t>
            </w:r>
          </w:p>
          <w:p w:rsidR="00F237A3" w:rsidRPr="000929FE" w:rsidRDefault="00AC70ED" w:rsidP="00F23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Happiness, resilience, </w:t>
            </w:r>
            <w:proofErr w:type="spellStart"/>
            <w:r>
              <w:rPr>
                <w:sz w:val="20"/>
                <w:szCs w:val="20"/>
              </w:rPr>
              <w:t>self esteem</w:t>
            </w:r>
            <w:proofErr w:type="spellEnd"/>
            <w:r>
              <w:rPr>
                <w:sz w:val="20"/>
                <w:szCs w:val="20"/>
              </w:rPr>
              <w:t xml:space="preserve">, media influences, dealing with grief and loss, eating disorders, </w:t>
            </w:r>
          </w:p>
        </w:tc>
        <w:tc>
          <w:tcPr>
            <w:tcW w:w="3543" w:type="dxa"/>
          </w:tcPr>
          <w:p w:rsidR="00F237A3" w:rsidRDefault="00F237A3" w:rsidP="00F237A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RSE</w:t>
            </w:r>
          </w:p>
          <w:p w:rsidR="00F237A3" w:rsidRPr="003930D4" w:rsidRDefault="00AC70ED" w:rsidP="00F23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consent &amp; the law, relationships &amp; partners, STIs, contraception, stereotypes in relationships</w:t>
            </w:r>
          </w:p>
        </w:tc>
        <w:tc>
          <w:tcPr>
            <w:tcW w:w="3270" w:type="dxa"/>
          </w:tcPr>
          <w:p w:rsidR="00F237A3" w:rsidRDefault="00AC70ED" w:rsidP="00F237A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Understanding Society</w:t>
            </w:r>
          </w:p>
          <w:p w:rsidR="00F237A3" w:rsidRPr="003930D4" w:rsidRDefault="00AC70ED" w:rsidP="00F23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Critical thinking, divisive language, Me Too / Times Up, homophobic bullying, cost of living</w:t>
            </w:r>
          </w:p>
        </w:tc>
        <w:tc>
          <w:tcPr>
            <w:tcW w:w="3251" w:type="dxa"/>
          </w:tcPr>
          <w:p w:rsidR="00F237A3" w:rsidRDefault="00D8037D" w:rsidP="00F237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Criminal Behaviours</w:t>
            </w:r>
          </w:p>
          <w:p w:rsidR="00F237A3" w:rsidRPr="003930D4" w:rsidRDefault="00D8037D" w:rsidP="00F23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Law making in the UK, substance misuse, extremism, radicalisation, </w:t>
            </w:r>
            <w:proofErr w:type="spellStart"/>
            <w:r>
              <w:rPr>
                <w:sz w:val="20"/>
                <w:szCs w:val="20"/>
              </w:rPr>
              <w:t>anti-semitism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F237A3" w:rsidTr="00F237A3">
        <w:trPr>
          <w:trHeight w:val="653"/>
        </w:trPr>
        <w:tc>
          <w:tcPr>
            <w:tcW w:w="1838" w:type="dxa"/>
          </w:tcPr>
          <w:p w:rsidR="00F237A3" w:rsidRPr="000929FE" w:rsidRDefault="00F237A3" w:rsidP="00F237A3">
            <w:pPr>
              <w:jc w:val="center"/>
              <w:rPr>
                <w:sz w:val="24"/>
                <w:szCs w:val="24"/>
              </w:rPr>
            </w:pPr>
            <w:r w:rsidRPr="000929FE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F237A3" w:rsidRDefault="00F456FD" w:rsidP="00F237A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Rights &amp; Responsibilities</w:t>
            </w:r>
          </w:p>
          <w:p w:rsidR="00F237A3" w:rsidRPr="000929FE" w:rsidRDefault="00F456FD" w:rsidP="00F23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Rights, disability discrimination, marriage rights, online safety, targeted advertising</w:t>
            </w:r>
          </w:p>
        </w:tc>
        <w:tc>
          <w:tcPr>
            <w:tcW w:w="3543" w:type="dxa"/>
          </w:tcPr>
          <w:p w:rsidR="00F237A3" w:rsidRDefault="00F456FD" w:rsidP="00F237A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Employability &amp; Your Future</w:t>
            </w:r>
          </w:p>
          <w:p w:rsidR="00F237A3" w:rsidRPr="003930D4" w:rsidRDefault="00F456FD" w:rsidP="00F23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LMI, Employability skills, intro to Post 16 pathways, personal branding</w:t>
            </w:r>
          </w:p>
        </w:tc>
        <w:tc>
          <w:tcPr>
            <w:tcW w:w="3270" w:type="dxa"/>
          </w:tcPr>
          <w:p w:rsidR="00F237A3" w:rsidRDefault="00F456FD" w:rsidP="00F237A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RSE</w:t>
            </w:r>
          </w:p>
          <w:p w:rsidR="00F237A3" w:rsidRPr="000929FE" w:rsidRDefault="00F456FD" w:rsidP="00F23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Anatomy, consent &amp; HSB, domestic abuse &amp; violence, sexualisation in the media, pornography</w:t>
            </w:r>
          </w:p>
        </w:tc>
        <w:tc>
          <w:tcPr>
            <w:tcW w:w="3251" w:type="dxa"/>
          </w:tcPr>
          <w:p w:rsidR="00FD7677" w:rsidRDefault="00FD7677" w:rsidP="00FD76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Staying Safe</w:t>
            </w:r>
          </w:p>
          <w:p w:rsidR="00F237A3" w:rsidRPr="003930D4" w:rsidRDefault="00F456FD" w:rsidP="00FD7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Emotional wellbeing, </w:t>
            </w:r>
            <w:proofErr w:type="spellStart"/>
            <w:r>
              <w:rPr>
                <w:sz w:val="20"/>
                <w:szCs w:val="20"/>
              </w:rPr>
              <w:t>self harm</w:t>
            </w:r>
            <w:proofErr w:type="spellEnd"/>
            <w:r>
              <w:rPr>
                <w:sz w:val="20"/>
                <w:szCs w:val="20"/>
              </w:rPr>
              <w:t>, depression &amp; consequences, honour based violence, child abuse</w:t>
            </w:r>
          </w:p>
        </w:tc>
      </w:tr>
      <w:tr w:rsidR="00F237A3" w:rsidTr="00F237A3">
        <w:trPr>
          <w:trHeight w:val="616"/>
        </w:trPr>
        <w:tc>
          <w:tcPr>
            <w:tcW w:w="1838" w:type="dxa"/>
          </w:tcPr>
          <w:p w:rsidR="00F237A3" w:rsidRPr="000929FE" w:rsidRDefault="00F237A3" w:rsidP="00F237A3">
            <w:pPr>
              <w:jc w:val="center"/>
              <w:rPr>
                <w:sz w:val="24"/>
                <w:szCs w:val="24"/>
              </w:rPr>
            </w:pPr>
            <w:r w:rsidRPr="000929FE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D86A4A" w:rsidRDefault="00D86A4A" w:rsidP="00D86A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Post 16 Options</w:t>
            </w:r>
          </w:p>
          <w:p w:rsidR="00F237A3" w:rsidRPr="000929FE" w:rsidRDefault="00D86A4A" w:rsidP="00D86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Pathways, entry requirements, careers information, local choices</w:t>
            </w:r>
          </w:p>
        </w:tc>
        <w:tc>
          <w:tcPr>
            <w:tcW w:w="3543" w:type="dxa"/>
          </w:tcPr>
          <w:p w:rsidR="00D86A4A" w:rsidRDefault="00D86A4A" w:rsidP="00D86A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Personal Finance</w:t>
            </w:r>
          </w:p>
          <w:p w:rsidR="00F237A3" w:rsidRPr="003930D4" w:rsidRDefault="00D86A4A" w:rsidP="00D86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Debt, savings, employment rights, managing money</w:t>
            </w:r>
          </w:p>
        </w:tc>
        <w:tc>
          <w:tcPr>
            <w:tcW w:w="3270" w:type="dxa"/>
          </w:tcPr>
          <w:p w:rsidR="00D86A4A" w:rsidRDefault="00D86A4A" w:rsidP="00D86A4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RSE &amp; Future Security</w:t>
            </w:r>
          </w:p>
          <w:p w:rsidR="00F237A3" w:rsidRPr="000929FE" w:rsidRDefault="00D86A4A" w:rsidP="00D86A4A">
            <w:pPr>
              <w:jc w:val="center"/>
              <w:rPr>
                <w:sz w:val="20"/>
                <w:szCs w:val="20"/>
              </w:rPr>
            </w:pPr>
            <w:r w:rsidRPr="003930D4">
              <w:rPr>
                <w:sz w:val="20"/>
                <w:szCs w:val="20"/>
              </w:rPr>
              <w:t>Personal branding, lifestyle risks (drugs, driving, alcohol, sex) online personas, leaving school considerations</w:t>
            </w:r>
          </w:p>
        </w:tc>
        <w:tc>
          <w:tcPr>
            <w:tcW w:w="3251" w:type="dxa"/>
            <w:shd w:val="clear" w:color="auto" w:fill="D0CECE" w:themeFill="background2" w:themeFillShade="E6"/>
          </w:tcPr>
          <w:p w:rsidR="00F237A3" w:rsidRPr="000929FE" w:rsidRDefault="00F237A3" w:rsidP="00D86A4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237A3" w:rsidTr="00F237A3">
        <w:trPr>
          <w:trHeight w:val="616"/>
        </w:trPr>
        <w:tc>
          <w:tcPr>
            <w:tcW w:w="1838" w:type="dxa"/>
          </w:tcPr>
          <w:p w:rsidR="00F237A3" w:rsidRPr="000929FE" w:rsidRDefault="00F237A3" w:rsidP="00F237A3">
            <w:pPr>
              <w:jc w:val="center"/>
              <w:rPr>
                <w:sz w:val="24"/>
                <w:szCs w:val="24"/>
              </w:rPr>
            </w:pPr>
            <w:r w:rsidRPr="000929FE">
              <w:rPr>
                <w:sz w:val="24"/>
                <w:szCs w:val="24"/>
              </w:rPr>
              <w:t>12</w:t>
            </w:r>
          </w:p>
        </w:tc>
        <w:tc>
          <w:tcPr>
            <w:tcW w:w="10499" w:type="dxa"/>
            <w:gridSpan w:val="3"/>
            <w:vMerge w:val="restart"/>
            <w:vAlign w:val="center"/>
          </w:tcPr>
          <w:p w:rsidR="00F237A3" w:rsidRPr="003930D4" w:rsidRDefault="00F237A3" w:rsidP="00F237A3">
            <w:pPr>
              <w:jc w:val="center"/>
              <w:rPr>
                <w:b/>
                <w:i/>
                <w:sz w:val="20"/>
                <w:szCs w:val="20"/>
              </w:rPr>
            </w:pPr>
            <w:r w:rsidRPr="003930D4">
              <w:rPr>
                <w:b/>
                <w:i/>
                <w:sz w:val="20"/>
                <w:szCs w:val="20"/>
              </w:rPr>
              <w:t>6</w:t>
            </w:r>
            <w:r w:rsidRPr="003930D4">
              <w:rPr>
                <w:b/>
                <w:i/>
                <w:sz w:val="20"/>
                <w:szCs w:val="20"/>
                <w:vertAlign w:val="superscript"/>
              </w:rPr>
              <w:t>th</w:t>
            </w:r>
            <w:r w:rsidRPr="003930D4">
              <w:rPr>
                <w:b/>
                <w:i/>
                <w:sz w:val="20"/>
                <w:szCs w:val="20"/>
              </w:rPr>
              <w:t xml:space="preserve"> Form follow a series of topical / targeted lessons across the two years. Themes include:</w:t>
            </w:r>
          </w:p>
          <w:p w:rsidR="00F237A3" w:rsidRPr="003930D4" w:rsidRDefault="00F237A3" w:rsidP="00F23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 masculinity, equality in the UK, cancer screening and treatment, medical ethics and blood donation, personal finance, substance misuse and addiction, feminism, subcultures, county lines, cultural appropriation</w:t>
            </w:r>
            <w:r w:rsidR="00372D9F">
              <w:rPr>
                <w:sz w:val="20"/>
                <w:szCs w:val="20"/>
              </w:rPr>
              <w:t>, healthy relationships, sexual health</w:t>
            </w:r>
          </w:p>
        </w:tc>
        <w:tc>
          <w:tcPr>
            <w:tcW w:w="3251" w:type="dxa"/>
          </w:tcPr>
          <w:p w:rsidR="00F237A3" w:rsidRDefault="00F237A3" w:rsidP="00F237A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Future Pathways</w:t>
            </w:r>
          </w:p>
          <w:p w:rsidR="00F237A3" w:rsidRPr="000929FE" w:rsidRDefault="00F237A3" w:rsidP="00F23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UCAS, writing personal statements and CVs</w:t>
            </w:r>
          </w:p>
        </w:tc>
      </w:tr>
      <w:tr w:rsidR="00F237A3" w:rsidTr="00F237A3">
        <w:trPr>
          <w:trHeight w:val="616"/>
        </w:trPr>
        <w:tc>
          <w:tcPr>
            <w:tcW w:w="1838" w:type="dxa"/>
          </w:tcPr>
          <w:p w:rsidR="00F237A3" w:rsidRPr="000929FE" w:rsidRDefault="00F237A3" w:rsidP="00F237A3">
            <w:pPr>
              <w:jc w:val="center"/>
              <w:rPr>
                <w:sz w:val="24"/>
                <w:szCs w:val="24"/>
              </w:rPr>
            </w:pPr>
            <w:r w:rsidRPr="000929FE">
              <w:rPr>
                <w:sz w:val="24"/>
                <w:szCs w:val="24"/>
              </w:rPr>
              <w:t>13</w:t>
            </w:r>
          </w:p>
        </w:tc>
        <w:tc>
          <w:tcPr>
            <w:tcW w:w="10499" w:type="dxa"/>
            <w:gridSpan w:val="3"/>
            <w:vMerge/>
          </w:tcPr>
          <w:p w:rsidR="00F237A3" w:rsidRPr="000929FE" w:rsidRDefault="00F237A3" w:rsidP="00F237A3">
            <w:pPr>
              <w:rPr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D0CECE" w:themeFill="background2" w:themeFillShade="E6"/>
          </w:tcPr>
          <w:p w:rsidR="00F237A3" w:rsidRPr="000929FE" w:rsidRDefault="00F237A3" w:rsidP="00F237A3">
            <w:pPr>
              <w:rPr>
                <w:sz w:val="20"/>
                <w:szCs w:val="20"/>
              </w:rPr>
            </w:pPr>
          </w:p>
        </w:tc>
      </w:tr>
    </w:tbl>
    <w:p w:rsidR="0074489B" w:rsidRPr="00F237A3" w:rsidRDefault="00F237A3" w:rsidP="00F237A3">
      <w:pPr>
        <w:jc w:val="center"/>
        <w:rPr>
          <w:b/>
          <w:u w:val="single"/>
        </w:rPr>
      </w:pPr>
      <w:r>
        <w:t xml:space="preserve"> </w:t>
      </w:r>
      <w:r w:rsidR="0074489B" w:rsidRPr="00F237A3">
        <w:rPr>
          <w:b/>
          <w:u w:val="single"/>
        </w:rPr>
        <w:t>Overview of Top</w:t>
      </w:r>
      <w:r w:rsidRPr="00F237A3">
        <w:rPr>
          <w:b/>
          <w:u w:val="single"/>
        </w:rPr>
        <w:t>ics KS3 - 5</w:t>
      </w:r>
    </w:p>
    <w:sectPr w:rsidR="0074489B" w:rsidRPr="00F237A3" w:rsidSect="000929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D2AFB"/>
    <w:multiLevelType w:val="hybridMultilevel"/>
    <w:tmpl w:val="538CB88C"/>
    <w:lvl w:ilvl="0" w:tplc="57BE7C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0018"/>
    <w:multiLevelType w:val="hybridMultilevel"/>
    <w:tmpl w:val="3E0CE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86090"/>
    <w:multiLevelType w:val="hybridMultilevel"/>
    <w:tmpl w:val="DF543AC6"/>
    <w:lvl w:ilvl="0" w:tplc="57BE7C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FE"/>
    <w:rsid w:val="000929FE"/>
    <w:rsid w:val="001C3B92"/>
    <w:rsid w:val="00283917"/>
    <w:rsid w:val="002A1BA5"/>
    <w:rsid w:val="002F3951"/>
    <w:rsid w:val="00372D9F"/>
    <w:rsid w:val="003930D4"/>
    <w:rsid w:val="004264E5"/>
    <w:rsid w:val="00476254"/>
    <w:rsid w:val="0074489B"/>
    <w:rsid w:val="007A1879"/>
    <w:rsid w:val="00902452"/>
    <w:rsid w:val="00956B45"/>
    <w:rsid w:val="00AC70ED"/>
    <w:rsid w:val="00AF0284"/>
    <w:rsid w:val="00D67776"/>
    <w:rsid w:val="00D8037D"/>
    <w:rsid w:val="00D86A4A"/>
    <w:rsid w:val="00DA2853"/>
    <w:rsid w:val="00DE0D02"/>
    <w:rsid w:val="00ED6DAF"/>
    <w:rsid w:val="00EF5C62"/>
    <w:rsid w:val="00F237A3"/>
    <w:rsid w:val="00F456FD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003F"/>
  <w15:chartTrackingRefBased/>
  <w15:docId w15:val="{FB50DB0C-301B-4813-85E5-027AF9D9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EPHS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Crix</dc:creator>
  <cp:keywords/>
  <dc:description/>
  <cp:lastModifiedBy>A Crix</cp:lastModifiedBy>
  <cp:revision>18</cp:revision>
  <cp:lastPrinted>2021-08-31T09:28:00Z</cp:lastPrinted>
  <dcterms:created xsi:type="dcterms:W3CDTF">2021-08-19T08:47:00Z</dcterms:created>
  <dcterms:modified xsi:type="dcterms:W3CDTF">2023-09-09T14:22:00Z</dcterms:modified>
</cp:coreProperties>
</file>