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DA242D" w:rsidP="00D863A5">
      <w:pPr>
        <w:pStyle w:val="Heading2"/>
        <w:jc w:val="center"/>
        <w:rPr>
          <w:rFonts w:ascii="Arial" w:hAnsi="Arial" w:cs="Arial"/>
          <w:color w:val="231F20"/>
          <w:sz w:val="28"/>
          <w:szCs w:val="28"/>
        </w:rPr>
      </w:pPr>
      <w:r>
        <w:rPr>
          <w:rFonts w:ascii="Arial" w:hAnsi="Arial" w:cs="Arial"/>
          <w:color w:val="231F20"/>
          <w:sz w:val="28"/>
          <w:szCs w:val="28"/>
        </w:rPr>
        <w:t xml:space="preserve">Dual Site </w:t>
      </w:r>
      <w:r w:rsidR="004D6ECE">
        <w:rPr>
          <w:rFonts w:ascii="Arial" w:hAnsi="Arial" w:cs="Arial"/>
          <w:color w:val="231F20"/>
          <w:sz w:val="28"/>
          <w:szCs w:val="28"/>
        </w:rPr>
        <w:t>Assistant Caretaker</w:t>
      </w:r>
    </w:p>
    <w:p w:rsidR="00CF2615" w:rsidRDefault="00CF2615"/>
    <w:tbl>
      <w:tblPr>
        <w:tblStyle w:val="TableGrid"/>
        <w:tblW w:w="0" w:type="auto"/>
        <w:tblLook w:val="04A0" w:firstRow="1" w:lastRow="0" w:firstColumn="1" w:lastColumn="0" w:noHBand="0" w:noVBand="1"/>
      </w:tblPr>
      <w:tblGrid>
        <w:gridCol w:w="4981"/>
        <w:gridCol w:w="4988"/>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3362FA" w:rsidP="00DF0FB7">
            <w:pPr>
              <w:rPr>
                <w:rFonts w:ascii="Arial" w:hAnsi="Arial" w:cs="Arial"/>
                <w:bCs/>
                <w:szCs w:val="24"/>
              </w:rPr>
            </w:pPr>
            <w:r>
              <w:rPr>
                <w:rFonts w:ascii="Arial" w:hAnsi="Arial" w:cs="Arial"/>
                <w:bCs/>
                <w:szCs w:val="24"/>
              </w:rPr>
              <w:t>Scale 4</w:t>
            </w:r>
            <w:r w:rsidR="00F42A2F">
              <w:rPr>
                <w:rFonts w:ascii="Arial" w:hAnsi="Arial" w:cs="Arial"/>
                <w:bCs/>
                <w:szCs w:val="24"/>
              </w:rPr>
              <w:t xml:space="preserve"> – </w:t>
            </w:r>
            <w:r w:rsidR="004D6ECE" w:rsidRPr="0049695C">
              <w:rPr>
                <w:rFonts w:ascii="Arial" w:hAnsi="Arial" w:cs="Arial"/>
              </w:rPr>
              <w:t>(</w:t>
            </w:r>
            <w:r w:rsidR="004D6ECE">
              <w:rPr>
                <w:rFonts w:ascii="Arial" w:hAnsi="Arial" w:cs="Arial"/>
              </w:rPr>
              <w:t xml:space="preserve">actual salary </w:t>
            </w:r>
            <w:r w:rsidR="00326AF8">
              <w:t xml:space="preserve">to £13,220 to £13,942 </w:t>
            </w:r>
            <w:r w:rsidR="004D6ECE" w:rsidRPr="0049695C">
              <w:rPr>
                <w:rFonts w:ascii="Arial" w:hAnsi="Arial" w:cs="Arial"/>
              </w:rPr>
              <w:t>plus occasional overtime)</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1470EC" w:rsidP="009E5A75">
            <w:pPr>
              <w:rPr>
                <w:rFonts w:ascii="Arial" w:hAnsi="Arial" w:cs="Arial"/>
                <w:bCs/>
                <w:szCs w:val="24"/>
              </w:rPr>
            </w:pPr>
            <w:r>
              <w:rPr>
                <w:rFonts w:ascii="Arial" w:hAnsi="Arial" w:cs="Arial"/>
                <w:bCs/>
                <w:szCs w:val="24"/>
              </w:rPr>
              <w:t>1</w:t>
            </w:r>
            <w:r w:rsidR="00FF5307">
              <w:rPr>
                <w:rFonts w:ascii="Arial" w:hAnsi="Arial" w:cs="Arial"/>
                <w:bCs/>
                <w:szCs w:val="24"/>
              </w:rPr>
              <w:t xml:space="preserve">.00pm to </w:t>
            </w:r>
            <w:r>
              <w:rPr>
                <w:rFonts w:ascii="Arial" w:hAnsi="Arial" w:cs="Arial"/>
                <w:bCs/>
                <w:szCs w:val="24"/>
              </w:rPr>
              <w:t>5</w:t>
            </w:r>
            <w:r w:rsidR="00FF5307">
              <w:rPr>
                <w:rFonts w:ascii="Arial" w:hAnsi="Arial" w:cs="Arial"/>
                <w:bCs/>
                <w:szCs w:val="24"/>
              </w:rPr>
              <w:t>.00pm each day</w:t>
            </w:r>
            <w:r w:rsidR="00F42A2F">
              <w:rPr>
                <w:rFonts w:ascii="Arial" w:hAnsi="Arial" w:cs="Arial"/>
                <w:bCs/>
                <w:szCs w:val="24"/>
              </w:rPr>
              <w:t xml:space="preserve"> (</w:t>
            </w:r>
            <w:r>
              <w:rPr>
                <w:rFonts w:ascii="Arial" w:hAnsi="Arial" w:cs="Arial"/>
                <w:bCs/>
                <w:szCs w:val="24"/>
              </w:rPr>
              <w:t>4</w:t>
            </w:r>
            <w:r w:rsidR="00FF5307">
              <w:rPr>
                <w:rFonts w:ascii="Arial" w:hAnsi="Arial" w:cs="Arial"/>
                <w:bCs/>
                <w:szCs w:val="24"/>
              </w:rPr>
              <w:t xml:space="preserve"> hours per day/</w:t>
            </w:r>
            <w:r>
              <w:rPr>
                <w:rFonts w:ascii="Arial" w:hAnsi="Arial" w:cs="Arial"/>
                <w:bCs/>
                <w:szCs w:val="24"/>
              </w:rPr>
              <w:t>20</w:t>
            </w:r>
            <w:r w:rsidR="00F42A2F">
              <w:rPr>
                <w:rFonts w:ascii="Arial" w:hAnsi="Arial" w:cs="Arial"/>
                <w:bCs/>
                <w:szCs w:val="24"/>
              </w:rPr>
              <w:t xml:space="preserve"> hours </w:t>
            </w:r>
            <w:proofErr w:type="gramStart"/>
            <w:r w:rsidR="00F42A2F">
              <w:rPr>
                <w:rFonts w:ascii="Arial" w:hAnsi="Arial" w:cs="Arial"/>
                <w:bCs/>
                <w:szCs w:val="24"/>
              </w:rPr>
              <w:t>pw)</w:t>
            </w:r>
            <w:r w:rsidR="004D6ECE">
              <w:rPr>
                <w:rFonts w:ascii="Arial" w:hAnsi="Arial" w:cs="Arial"/>
                <w:bCs/>
                <w:szCs w:val="24"/>
              </w:rPr>
              <w:t xml:space="preserve"> </w:t>
            </w:r>
            <w:r w:rsidR="00326AF8">
              <w:rPr>
                <w:rFonts w:ascii="Arial" w:hAnsi="Arial" w:cs="Arial"/>
                <w:bCs/>
                <w:szCs w:val="24"/>
              </w:rPr>
              <w:t xml:space="preserve"> -</w:t>
            </w:r>
            <w:proofErr w:type="gramEnd"/>
            <w:r w:rsidR="00326AF8">
              <w:rPr>
                <w:rFonts w:ascii="Arial" w:hAnsi="Arial" w:cs="Arial"/>
                <w:bCs/>
                <w:szCs w:val="24"/>
              </w:rPr>
              <w:t xml:space="preserve"> </w:t>
            </w:r>
            <w:r w:rsidR="00326AF8" w:rsidRPr="00326AF8">
              <w:rPr>
                <w:rFonts w:ascii="Arial" w:hAnsi="Arial" w:cs="Arial"/>
                <w:b/>
                <w:bCs/>
                <w:szCs w:val="24"/>
              </w:rPr>
              <w:t>Full year</w:t>
            </w:r>
            <w:r w:rsidR="00326AF8">
              <w:rPr>
                <w:rFonts w:ascii="Arial" w:hAnsi="Arial" w:cs="Arial"/>
                <w:bCs/>
                <w:szCs w:val="24"/>
              </w:rPr>
              <w:t xml:space="preserve"> (not term time only)</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Pr="00FF5307" w:rsidRDefault="004D6ECE" w:rsidP="000C0A97">
            <w:pPr>
              <w:rPr>
                <w:rFonts w:ascii="Arial" w:hAnsi="Arial" w:cs="Arial"/>
                <w:bCs/>
                <w:szCs w:val="24"/>
              </w:rPr>
            </w:pPr>
            <w:r w:rsidRPr="00FF5307">
              <w:rPr>
                <w:rStyle w:val="t-job-contract-term"/>
                <w:rFonts w:ascii="Arial" w:hAnsi="Arial" w:cs="Arial"/>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Pr="00F2631B" w:rsidRDefault="004D6ECE" w:rsidP="00125A1D">
            <w:pPr>
              <w:rPr>
                <w:rFonts w:ascii="Arial" w:hAnsi="Arial" w:cs="Arial"/>
                <w:bCs/>
                <w:szCs w:val="24"/>
              </w:rPr>
            </w:pPr>
            <w:r>
              <w:rPr>
                <w:rFonts w:ascii="Arial" w:hAnsi="Arial" w:cs="Arial"/>
                <w:bCs/>
                <w:szCs w:val="24"/>
              </w:rPr>
              <w:t>24.9.21</w:t>
            </w:r>
          </w:p>
        </w:tc>
        <w:bookmarkStart w:id="0" w:name="_GoBack"/>
        <w:bookmarkEnd w:id="0"/>
      </w:tr>
      <w:tr w:rsidR="00CF2615">
        <w:tc>
          <w:tcPr>
            <w:tcW w:w="5097" w:type="dxa"/>
            <w:vAlign w:val="center"/>
          </w:tcPr>
          <w:p w:rsidR="00CF2615" w:rsidRDefault="00A64034">
            <w:pPr>
              <w:rPr>
                <w:rFonts w:ascii="Arial" w:hAnsi="Arial" w:cs="Arial"/>
                <w:szCs w:val="24"/>
              </w:rPr>
            </w:pPr>
            <w:r>
              <w:rPr>
                <w:rFonts w:ascii="Arial" w:hAnsi="Arial" w:cs="Arial"/>
                <w:szCs w:val="24"/>
              </w:rPr>
              <w:t>Closing date</w:t>
            </w:r>
          </w:p>
        </w:tc>
        <w:tc>
          <w:tcPr>
            <w:tcW w:w="5098" w:type="dxa"/>
            <w:vAlign w:val="center"/>
          </w:tcPr>
          <w:p w:rsidR="00CF2615" w:rsidRPr="00C443CA" w:rsidRDefault="004D6ECE" w:rsidP="003362FA">
            <w:pPr>
              <w:rPr>
                <w:rFonts w:ascii="Arial" w:hAnsi="Arial" w:cs="Arial"/>
                <w:bCs/>
                <w:szCs w:val="24"/>
              </w:rPr>
            </w:pPr>
            <w:r>
              <w:rPr>
                <w:rFonts w:ascii="Arial" w:hAnsi="Arial" w:cs="Arial"/>
                <w:bCs/>
                <w:szCs w:val="24"/>
              </w:rPr>
              <w:t>Suitable candidates will be interviewed as and when they apply</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4D6ECE">
            <w:pPr>
              <w:rPr>
                <w:rFonts w:ascii="Arial" w:hAnsi="Arial" w:cs="Arial"/>
                <w:bCs/>
                <w:szCs w:val="24"/>
              </w:rPr>
            </w:pPr>
            <w:r>
              <w:rPr>
                <w:rFonts w:ascii="Arial" w:hAnsi="Arial" w:cs="Arial"/>
                <w:bCs/>
                <w:szCs w:val="24"/>
              </w:rPr>
              <w:t>Soon as possible</w:t>
            </w:r>
          </w:p>
        </w:tc>
      </w:tr>
    </w:tbl>
    <w:p w:rsidR="00CF2615" w:rsidRDefault="00CF2615">
      <w:pPr>
        <w:ind w:right="533"/>
        <w:jc w:val="both"/>
        <w:rPr>
          <w:rFonts w:ascii="Arial" w:hAnsi="Arial" w:cs="Arial"/>
          <w:szCs w:val="24"/>
        </w:rPr>
      </w:pPr>
    </w:p>
    <w:p w:rsidR="00C443CA" w:rsidRDefault="00C443CA" w:rsidP="00C443CA">
      <w:pPr>
        <w:shd w:val="clear" w:color="auto" w:fill="FFFFFF"/>
        <w:rPr>
          <w:rFonts w:ascii="Arial" w:hAnsi="Arial" w:cs="Arial"/>
          <w:b/>
          <w:color w:val="231F20"/>
          <w:sz w:val="22"/>
          <w:szCs w:val="22"/>
        </w:rPr>
      </w:pPr>
    </w:p>
    <w:p w:rsidR="00B71E98" w:rsidRDefault="00B71E98" w:rsidP="00B71E98">
      <w:pPr>
        <w:ind w:right="-86"/>
        <w:rPr>
          <w:rFonts w:ascii="Arial" w:hAnsi="Arial" w:cs="Arial"/>
          <w:color w:val="000000"/>
          <w:sz w:val="22"/>
          <w:szCs w:val="22"/>
          <w:lang w:val="en-US" w:eastAsia="en-US"/>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0628F5"/>
    <w:rsid w:val="000C0A97"/>
    <w:rsid w:val="00100983"/>
    <w:rsid w:val="00101ACC"/>
    <w:rsid w:val="00125A1D"/>
    <w:rsid w:val="001470EC"/>
    <w:rsid w:val="001807A8"/>
    <w:rsid w:val="001C2CEC"/>
    <w:rsid w:val="0021433B"/>
    <w:rsid w:val="002B79AE"/>
    <w:rsid w:val="00326AF8"/>
    <w:rsid w:val="003362FA"/>
    <w:rsid w:val="00453474"/>
    <w:rsid w:val="004D6ECE"/>
    <w:rsid w:val="00571C58"/>
    <w:rsid w:val="006B65A3"/>
    <w:rsid w:val="007C2BC9"/>
    <w:rsid w:val="00804193"/>
    <w:rsid w:val="0088747B"/>
    <w:rsid w:val="0093101C"/>
    <w:rsid w:val="00977468"/>
    <w:rsid w:val="009E2F0B"/>
    <w:rsid w:val="009E5A75"/>
    <w:rsid w:val="00A62606"/>
    <w:rsid w:val="00A64034"/>
    <w:rsid w:val="00B71E98"/>
    <w:rsid w:val="00BC108A"/>
    <w:rsid w:val="00C443CA"/>
    <w:rsid w:val="00C47E18"/>
    <w:rsid w:val="00C61152"/>
    <w:rsid w:val="00C7514F"/>
    <w:rsid w:val="00CA6EA7"/>
    <w:rsid w:val="00CE7C14"/>
    <w:rsid w:val="00CF2615"/>
    <w:rsid w:val="00D33D30"/>
    <w:rsid w:val="00D83EF1"/>
    <w:rsid w:val="00D863A5"/>
    <w:rsid w:val="00D96F90"/>
    <w:rsid w:val="00DA242D"/>
    <w:rsid w:val="00DB3939"/>
    <w:rsid w:val="00DF0FB7"/>
    <w:rsid w:val="00E92949"/>
    <w:rsid w:val="00EA0334"/>
    <w:rsid w:val="00F012D3"/>
    <w:rsid w:val="00F2631B"/>
    <w:rsid w:val="00F42A2F"/>
    <w:rsid w:val="00F63F8D"/>
    <w:rsid w:val="00F65693"/>
    <w:rsid w:val="00F67DB6"/>
    <w:rsid w:val="00FA23E8"/>
    <w:rsid w:val="00FD238A"/>
    <w:rsid w:val="00FF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B4CB7"/>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821194647">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1040</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E Dale</cp:lastModifiedBy>
  <cp:revision>2</cp:revision>
  <cp:lastPrinted>2021-09-23T14:45:00Z</cp:lastPrinted>
  <dcterms:created xsi:type="dcterms:W3CDTF">2021-10-12T09:37:00Z</dcterms:created>
  <dcterms:modified xsi:type="dcterms:W3CDTF">2021-10-12T09:37:00Z</dcterms:modified>
</cp:coreProperties>
</file>